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HKapVO (Sachsen) — Abweichende Festsetzung</w:t>
      </w:r>
    </w:p>
    <w:p>
      <w:r>
        <w:rPr>
          <w:color w:val="555555"/>
          <w:sz w:val="18"/>
        </w:rPr>
        <w:t xml:space="preserve">Hochschulkapazitätsverordnung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Zulassungszahlen können bei der Erprobung neuer Studiengänge und -methoden, bei der Neuordnung von Studiengängen und Fachbereichen und bei Aus- oder Aufbau der Hochschulen befristet abweichend von den Abschnitten 2 und 3 festgesetzt werden. Dabei ist ein ausgewogenes Angebot an Studiengängen zu gewährleisten.</w:t>
      </w:r>
    </w:p>
    <w:p>
      <w:r>
        <w:rPr>
          <w:color w:val="555555"/>
          <w:sz w:val="17"/>
        </w:rPr>
        <w:t xml:space="preserve">Zitiervorschlag: § 18 HKapVO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https://recht.nulegal.eu/gesetze/HKapVO/18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