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15 HKapVO (Sachsen) — Festsetzung der Zulassungszahl im Studiengang Medizin</w:t>
      </w:r>
    </w:p>
    <w:p>
      <w:r>
        <w:rPr>
          <w:color w:val="555555"/>
          <w:sz w:val="18"/>
        </w:rPr>
        <w:t xml:space="preserve">Hochschulkapazitätsverordnung</w:t>
      </w:r>
    </w:p>
    <w:p>
      <w:r>
        <w:rPr>
          <w:color w:val="555555"/>
          <w:sz w:val="18"/>
        </w:rPr>
        <w:t xml:space="preserve">Landesrecht Sachsen</w:t>
      </w:r>
    </w:p>
    <w:p>
      <w:r>
        <w:rPr>
          <w:color w:val="555555"/>
          <w:sz w:val="18"/>
        </w:rPr>
        <w:t xml:space="preserve">Stand: 26.08.2026 (konsolidierte Textfassung, kein amtliches Inkrafttretensdatum)</w:t>
      </w:r>
    </w:p>
    <w:p>
      <w:r>
        <w:t xml:space="preserve">(1) Liegt das Berechnungsergebnis für den klinischen Teil des Studiengangs Medizin niedriger als das Berechnungsergebnis für den vorklinischen Teil des Studiengangs, kann die Zulassungszahl für den Studiengang Medizin nur dann höher als das Berechnungsergebnis für den klinischen Teil festgesetzt werden, wenn das Staatsministerium für Wissenschaft, Kultur und Tourismus die Fortsetzung des Studiums nach dem vorklinischen Teil gewährleisten kann. Ist der klinische Teil des Studiengangs an einer Hochschule nicht vorhanden, gilt Satz 1 entsprechend.</w:t>
      </w:r>
    </w:p>
    <w:p>
      <w:r>
        <w:t xml:space="preserve">(2) Soweit die Fortsetzung des Studiums nach dem vorklinischen Teil nicht gewährleistet werden kann, ist die Differenz zwischen der nach Absatz 1 festgesetzten Zulassungszahl und dem nach Abschnitt 3 überprüften Berechnungsergebnis für den vorklinischen Teil des Studiengangs als gesonderte Zulassungszahl festzusetzen.</w:t>
      </w:r>
    </w:p>
    <w:p>
      <w:r>
        <w:t xml:space="preserve">(3) Liegt das Berechnungsergebnis für den vorklinischen Teil des Studiengangs Medizin niedriger als das für den klinischen Teil des Studiengangs, wird die Zulassungszahl nach dem Berechnungsergebnis des vorklinischen Teils festgesetzt.</w:t>
      </w:r>
    </w:p>
    <w:p>
      <w:r>
        <w:rPr>
          <w:color w:val="555555"/>
          <w:sz w:val="17"/>
        </w:rPr>
        <w:t xml:space="preserve">Zitiervorschlag: § 15 HKapVO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https://recht.nulegal.eu/gesetze/HKapVO/15</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sk.sachsen.de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15 HKapVO (Sachsen)</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