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97 HKaG (Bayern) — Vollstreckbarkeit der berufsgerichtlichen Entscheidungen</w:t>
      </w:r>
    </w:p>
    <w:p>
      <w:r>
        <w:rPr>
          <w:color w:val="555555"/>
          <w:sz w:val="18"/>
        </w:rPr>
        <w:t xml:space="preserve">Heilberufe-Kammergesetz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auf Grund dieses Gesetzes ergangenen Entscheidungen werden vollstreckbar, soweit sie rechtskräftig geworden sind. Die rechtskräftige Entscheidung ist entsprechend Art. 83 Abs. 3 Satz 1 und 2 den dort Genannten mitzuteilen.“</w:t>
      </w:r>
    </w:p>
    <w:p>
      <w:r>
        <w:t xml:space="preserve">(2) Der Verweis gilt mit Eintritt der Rechtskraft der Entscheidung als erteilt. Zum selben Zeitpunkt werden Maßnahmen nach Art. 67 Abs. 1 Nr. 3 bis 5 wirksam.</w:t>
      </w:r>
    </w:p>
    <w:p>
      <w:r>
        <w:rPr>
          <w:color w:val="555555"/>
          <w:sz w:val="17"/>
        </w:rPr>
        <w:t xml:space="preserve">Zitiervorschlag: Art 97 HKaG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https://recht.nulegal.eu/gesetze/HKaG/97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