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HKaG (Bayern) — Anwendbarkeit des Gerichtsverfassungsgesetzes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in diesem Gesetz nichts anderes bestimmt ist, sind die Vorschriften des Gerichtsverfassungsgesetzes über Öffentlichkeit, Sitzungspolizei und Gerichtssprache auf das Verfahren vor dem Berufsgericht und dem Landesberufsgericht entsprechend anzuwenden.</w:t>
      </w:r>
    </w:p>
    <w:p>
      <w:r>
        <w:t xml:space="preserve">(2) Die Vorschriften über die ärztliche Schweigepflicht finden Anwendung.</w:t>
      </w:r>
    </w:p>
    <w:p>
      <w:r>
        <w:t xml:space="preserve">(3) Die Öffentlichkeit kann auch zur Wahrung des Berufsgeheimnisses für die Hauptverhandlung ganz oder zum Teil ausgeschlossen werden.</w:t>
      </w:r>
    </w:p>
    <w:p>
      <w:r>
        <w:rPr>
          <w:color w:val="555555"/>
          <w:sz w:val="17"/>
        </w:rPr>
        <w:t xml:space="preserve">Zitiervorschlag: Art 88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