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87 HKaG (Bayern) — Verhältnis zum Disziplinarverfahren</w:t>
      </w:r>
    </w:p>
    <w:p>
      <w:r>
        <w:rPr>
          <w:color w:val="555555"/>
          <w:sz w:val="18"/>
        </w:rPr>
        <w:t xml:space="preserve">Heilberufe-Kammergesetz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gegen ein beamtetes Mitglied der Berufsvertretungen, das einer Verletzung der Berufspflichten beschuldigt ist, wegen desselben Sachverhalts ein Disziplinarverfahren eingeleitet, so finden auf das berufsgerichtliche Verfahren Art. 86 Abs. 1 und 3 entsprechende Anwendung.</w:t>
      </w:r>
    </w:p>
    <w:p>
      <w:r>
        <w:t xml:space="preserve">(2) Nach Beendigung des Disziplinarverfahrens kann das berufsgerichtliche Verfahren fortgesetzt werden, wenn</w:t>
      </w:r>
    </w:p>
    <w:p>
      <w:r>
        <w:t xml:space="preserve">1. die Verletzung der Berufspflichten nicht als Dienstvergehen mit einer Disziplinarmaßnahme geahndet worden ist,</w:t>
      </w:r>
    </w:p>
    <w:p>
      <w:r>
        <w:t xml:space="preserve">2. neben der Disziplinarmaßnahme Maßnahmen nach Art. 67 Abs. 1 Nr. 1 und 2 zusätzlich erforderlich sind, um das Mitglied zur Erfüllung seiner Berufspflichten anzuhalten und das Ansehen des Berufsstands zu wahren, oder</w:t>
      </w:r>
    </w:p>
    <w:p>
      <w:r>
        <w:t xml:space="preserve">3. neben der Disziplinarmaßnahme Maßnahmen nach Art. 67 Abs. 1 Nr. 3 bis 5 in Frage kommen.</w:t>
      </w:r>
    </w:p>
    <w:p>
      <w:r>
        <w:rPr>
          <w:color w:val="555555"/>
          <w:sz w:val="17"/>
        </w:rPr>
        <w:t xml:space="preserve">Zitiervorschlag: Art 87 HKaG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https://recht.nulegal.eu/gesetze/HKaG/87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