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HKaG (Bayern) — Hauptverhandlung; abgekürztes Verfahren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Termin zur Hauptverhandlung wird von dem Vorsitzenden des Gerichts anberaumt.</w:t>
      </w:r>
    </w:p>
    <w:p>
      <w:r>
        <w:t xml:space="preserve">(2) Dem Beschuldigten und seinem Verteidiger oder Beistand sowie dem Antragsteller muss die Ladung mindestens zwei Wochen vor der Hauptverhandlung zugestellt werden.</w:t>
      </w:r>
    </w:p>
    <w:p>
      <w:r>
        <w:t xml:space="preserve">(3) Das Berufsgericht kann ohne Eröffnungsbeschluss und ohne Hauptverhandlung durch Beschluss auf Verweis oder Geldbuße erkennen (abgekürztes Verfahren). Gegen diesen Beschluss können der Beschuldigte und der Antragsteller binnen zwei Wochen Einspruch erheben. Es findet dann die Hauptverhandlung statt.</w:t>
      </w:r>
    </w:p>
    <w:p>
      <w:r>
        <w:t xml:space="preserve">(4) In der Hauptverhandlung kann sich der Beschuldigte durch einen Verteidiger vertreten lassen. Gegen einen Beschuldigten, der nicht erschienen und nicht vertreten ist, kann die Hauptverhandlung durchgeführt werden, wenn er ordnungsgemäß geladen und in der Ladung darauf hingewiesen ist, dass in seiner Abwesenheit verhandelt werden kann.</w:t>
      </w:r>
    </w:p>
    <w:p>
      <w:r>
        <w:rPr>
          <w:color w:val="555555"/>
          <w:sz w:val="17"/>
        </w:rPr>
        <w:t xml:space="preserve">Zitiervorschlag: Art 84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