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80 HKaG (Bayern) — Durchführung eines Untersuchungsverfahrens</w:t>
      </w:r>
    </w:p>
    <w:p>
      <w:r>
        <w:rPr>
          <w:color w:val="555555"/>
          <w:sz w:val="18"/>
        </w:rPr>
        <w:t xml:space="preserve">Heilberufe-Kammergesetz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Ergibt sich auf Grund der Äußerungen, dass eine Verletzung der Berufspflichten nicht vorliegt, so gibt das Berufsgericht dem Antrag auf Eröffnung eines berufsgerichtlichen Verfahrens keine Folge.</w:t>
      </w:r>
    </w:p>
    <w:p>
      <w:r>
        <w:t xml:space="preserve">(2) Werden weitere Ermittlungen für erforderlich gehalten, so beauftragt das Gericht den Untersuchungsführer mit der Durchführung eines Untersuchungsverfahrens.</w:t>
      </w:r>
    </w:p>
    <w:p>
      <w:r>
        <w:t xml:space="preserve">(3) Der Untersuchungsführer fasst das Ergebnis seiner Untersuchungen in tatsächlicher und rechtlicher Hinsicht schriftlich zusammen. Die Zusammenfassung ist dem Beschuldigten und dem Antragsteller bekannt zu geben.</w:t>
      </w:r>
    </w:p>
    <w:p>
      <w:r>
        <w:rPr>
          <w:color w:val="555555"/>
          <w:sz w:val="17"/>
        </w:rPr>
        <w:t xml:space="preserve">Zitiervorschlag: Art 80 HKaG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https://recht.nulegal.eu/gesetze/HKaG/80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