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71 HKaG (Bayern) — Weitere Bestimmungen für ehrenamtliche Richter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Bestellung zum ehrenamtlichen Richter kann nur aus wichtigem Grund abgelehnt werden; als solcher gilt insbesondere</w:t>
      </w:r>
    </w:p>
    <w:p>
      <w:r>
        <w:t xml:space="preserve">1. Vollendung des 65. Lebensjahres,</w:t>
      </w:r>
    </w:p>
    <w:p>
      <w:r>
        <w:t xml:space="preserve">2. Krankheit oder Gebrechen,</w:t>
      </w:r>
    </w:p>
    <w:p>
      <w:r>
        <w:t xml:space="preserve">3. andere ehrenamtliche Tätigkeit, wegen der die Übernahme des Amts nicht zugemutet werden kann,</w:t>
      </w:r>
    </w:p>
    <w:p>
      <w:r>
        <w:t xml:space="preserve">4. Tätigkeit als ehrenamtlicher Richter in den vorhergehenden fünf Jahren.</w:t>
      </w:r>
    </w:p>
    <w:p>
      <w:r>
        <w:t xml:space="preserve">Über die Berechtigung der Ablehnung entscheidet die für die Bestellung zuständige Behörde. In den Fällen des Satzes 1 Nr. 2 und 3 ist die zuständige Landeskammer vorher zu hören.</w:t>
      </w:r>
    </w:p>
    <w:p>
      <w:r>
        <w:t xml:space="preserve">(2) Zum ehrenamtlichen Richter kann nicht bestellt werden, wer</w:t>
      </w:r>
    </w:p>
    <w:p>
      <w:r>
        <w:t xml:space="preserve">1. Delegierter ist,</w:t>
      </w:r>
    </w:p>
    <w:p>
      <w:r>
        <w:t xml:space="preserve">2. dem Vorstand einer Berufsvertretung angehört,</w:t>
      </w:r>
    </w:p>
    <w:p>
      <w:r>
        <w:t xml:space="preserve">3. in einer Berufsvertretung bei Ahndung von Verstößen gegen Berufspflichten mitwirkt,</w:t>
      </w:r>
    </w:p>
    <w:p>
      <w:r>
        <w:t xml:space="preserve">4. Bediensteter einer Berufsvertretung ist,</w:t>
      </w:r>
    </w:p>
    <w:p>
      <w:r>
        <w:t xml:space="preserve">5. einer staatlichen Behörde angehört, der die Aufsicht über eine Berufsvertretung obliegt,</w:t>
      </w:r>
    </w:p>
    <w:p>
      <w:r>
        <w:t xml:space="preserve">6. die Wählbarkeit zum Delegierten oder in Organe der Berufsvertretung nicht besitzt,</w:t>
      </w:r>
    </w:p>
    <w:p>
      <w:r>
        <w:t xml:space="preserve">7. wegen einer vorsätzlichen Tat zu einer Freiheitsstrafe rechtskräftig verurteilt worden ist, sofern die Strafe nicht getilgt ist,</w:t>
      </w:r>
    </w:p>
    <w:p>
      <w:r>
        <w:t xml:space="preserve">8. nach Abs. 4 gehindert ist, das Richteramt auszuüben.</w:t>
      </w:r>
    </w:p>
    <w:p>
      <w:r>
        <w:t xml:space="preserve">Werden Gründe, die einer Bestellung entgegenstehen, erst nachträglich bekannt, so ist die Bestellung zu widerrufen.</w:t>
      </w:r>
    </w:p>
    <w:p>
      <w:r>
        <w:t xml:space="preserve">(3) Das Amt eines ehrenamtlichen Richters erlischt, wenn die Gründe, die nach Abs. 2 Nr. 1 bis 7 einer Bestellung entgegenstehen, nachträglich eintreten.</w:t>
      </w:r>
    </w:p>
    <w:p>
      <w:r>
        <w:t xml:space="preserve">(4) Ein ehrenamtlicher Richter kann das Richteramt nicht ausüben,</w:t>
      </w:r>
    </w:p>
    <w:p>
      <w:r>
        <w:t xml:space="preserve">1. solange seine Approbation, Bestallung oder Erlaubnis zur Berufsausübung ruht,</w:t>
      </w:r>
    </w:p>
    <w:p>
      <w:r>
        <w:t xml:space="preserve">2. solange gegen ihn ein Berufsverbot besteht,</w:t>
      </w:r>
    </w:p>
    <w:p>
      <w:r>
        <w:t xml:space="preserve">3. während der Dauer eines gegen ihn eingeleiteten berufsgerichtlichen Verfahrens,</w:t>
      </w:r>
    </w:p>
    <w:p>
      <w:r>
        <w:t xml:space="preserve">4. während der Dauer eines gegen ihn eingeleiteten gerichtlichen Disziplinarverfahrens, sofern dieses eine Berufsverfehlung im Sinn dieses Gesetzes betrifft,</w:t>
      </w:r>
    </w:p>
    <w:p>
      <w:r>
        <w:t xml:space="preserve">5. während der Dauer eines gegen ihn eröffneten Strafverfahrens, sofern das Verfahren ein vorsätzliches Vergehen oder ein Verbrechen zum Gegenstand hat.</w:t>
      </w:r>
    </w:p>
    <w:p>
      <w:r>
        <w:t xml:space="preserve">(5) Stimmt ein ehrenamtlicher Richter dem Widerruf seiner Bestellung nach Abs. 2 Satz 2 nicht zu oder hält er die Voraussetzungen für das Erlöschen seines Richteramts nach Absatz 3 nicht für gegeben, so entscheidet hierüber einer der Strafsenate des Obersten Landesgerichts in Nürnberg. Der ehrenamtliche Richter ist vor der Entscheidung zu hören. Das Verfahren ist gebührenfrei.</w:t>
      </w:r>
    </w:p>
    <w:p>
      <w:r>
        <w:rPr>
          <w:color w:val="555555"/>
          <w:sz w:val="17"/>
        </w:rPr>
        <w:t xml:space="preserve">Zitiervorschlag: Art 71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