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HKaG (Bayern) — Berufsgerichte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berufsgerichtliche Verfahren wird von den Berufsgerichten für die Heilberufe (Berufsgericht) als erster Instanz und dem Landesberufsgericht für die Heilberufe (Landesberufsgericht) als Rechtsmittelinstanz durchgeführt.</w:t>
      </w:r>
    </w:p>
    <w:p>
      <w:r>
        <w:t xml:space="preserve">(2) Das Berufsgericht für die Regierungsbezirke Oberbayern, Niederbayern und Schwaben wird beim Landgericht München I, das Berufsgericht für die Regierungsbezirke Oberfranken, Mittelfranken, Unterfranken und Oberpfalz beim Landgericht Nürnberg-Fürth errichtet. Die Berufsgerichte vertreten sich wechselseitig im Fall eines Wiederaufnahmeverfahrens nach Art. 94. Das Landesberufsgericht wird beim Obersten Landesgericht errichtet; seine Aufgaben werden den Strafsenaten in Nürnberg übertragen.</w:t>
      </w:r>
    </w:p>
    <w:p>
      <w:r>
        <w:rPr>
          <w:color w:val="555555"/>
          <w:sz w:val="17"/>
        </w:rPr>
        <w:t xml:space="preserve">Zitiervorschlag: Art 68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