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HKaG (Bayern) — Verfolgung von Berufspflichtverletzungen; Verjährung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Verletzungen von Berufspflichten durch Mitglieder der Berufsvertretungen werden im berufsgerichtlichen Verfahren verfolgt, soweit nicht Art. 38 Abs. 1 zur Anwendung kommt. Es können auch Berufspflichtverletzungen verfolgt werden, die Mitglieder während ihrer Zugehörigkeit zu einer vergleichbaren Berufsvertretung im Geltungsbereich der Bundesärzteordnung begangen haben. Endet die Mitgliedschaft nach Eröffnung des berufsgerichtlichen Verfahrens, so kann dieses fortgesetzt werden, sofern die Approbation (Bestallung) weiterbesteht.</w:t>
      </w:r>
    </w:p>
    <w:p>
      <w:r>
        <w:t xml:space="preserve">(2) Die Verfolgung der Verletzung der Berufspflichten verjährt in fünf Jahren. Für den Beginn, die Unterbrechung und das Ruhen der Verjährung gelten die Vorschriften des Strafgesetzbuchs entsprechend. Verstößt die Tat auch gegen ein Strafgesetz, so verjährt die Verfolgung nicht, bevor die Strafverfolgung verjährt. Stellt die Berufsvertretung den Antrag auf Einleitung eines berufsgerichtlichen Verfahrens nach Art. 39 Abs. 3 zurück, so ruht die Verfolgungsverjährung von der Mitteilung der Zurückstellung an den Beschuldigten bis zum rechtskräftigen Abschluss des anderen Verfahrens.</w:t>
      </w:r>
    </w:p>
    <w:p>
      <w:r>
        <w:rPr>
          <w:color w:val="555555"/>
          <w:sz w:val="17"/>
        </w:rPr>
        <w:t xml:space="preserve">Zitiervorschlag: Art 66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