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HKaG (Bayern) — Mitgliedschaft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Mitglieder der Kammer sind alle Berufsangehörigen, die</w:t>
      </w:r>
    </w:p>
    <w:p>
      <w:r>
        <w:t xml:space="preserve">1. in Bayern den Beruf des Psychologischen Psychotherapeuten, des Kinder- und Jugendlichenpsychotherapeuten oder des Psychotherapeuten ausüben oder</w:t>
      </w:r>
    </w:p>
    <w:p>
      <w:r>
        <w:t xml:space="preserve">2. ohne einen dieser Berufe auszuüben, in Bayern ihre Hauptwohnung haben.</w:t>
      </w:r>
    </w:p>
    <w:p>
      <w:r>
        <w:t xml:space="preserve">(2) Sie sind verpflichtet, sich bei der Kammer an- und abzumelden.</w:t>
      </w:r>
    </w:p>
    <w:p>
      <w:r>
        <w:rPr>
          <w:color w:val="555555"/>
          <w:sz w:val="17"/>
        </w:rPr>
        <w:t xml:space="preserve">Zitiervorschlag: Art 61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