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HKaG (Bayern) — Erteilung von Weiterbildungsermächtigungen und Zulassung von Weiterbildungsstätten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Ermächtigung des Arztes und den Widerruf der Ermächtigung entscheidet die Landesärztekammer. Die Ermächtigung bedarf eines Antrags.</w:t>
      </w:r>
    </w:p>
    <w:p>
      <w:r>
        <w:t xml:space="preserve">(2) Die Landesärztekammer führt ein Verzeichnis der ermächtigten Ärzte, aus dem hervorgeht, in welchem Umfang sie zur Weiterbildung ermächtigt sind. Das Verzeichnis ist bekanntzumachen.</w:t>
      </w:r>
    </w:p>
    <w:p>
      <w:r>
        <w:t xml:space="preserve">(3) Über die Zulassung der Weiterbildungsstätte und den Widerruf der Zulassung entscheidet die Landesärztekammer. Die Zulassung bedarf eines Antrags. Die zugelassenen Weiterbildungsstätten sind bekanntzumachen.</w:t>
      </w:r>
    </w:p>
    <w:p>
      <w:r>
        <w:rPr>
          <w:color w:val="555555"/>
          <w:sz w:val="17"/>
        </w:rPr>
        <w:t xml:space="preserve">Zitiervorschlag: Art 32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