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HKaG (Bayern) — Fachrichtungen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Bezeichnungen nach Art. 27 bestimmt die Landesärztekammer in den Fachrichtungen</w:t>
      </w:r>
    </w:p>
    <w:p>
      <w:r>
        <w:t xml:space="preserve">1. Konservative Medizin,</w:t>
      </w:r>
    </w:p>
    <w:p>
      <w:r>
        <w:t xml:space="preserve">2. Operative Medizin,</w:t>
      </w:r>
    </w:p>
    <w:p>
      <w:r>
        <w:t xml:space="preserve">3. Nervenheilkundliche Medizin,</w:t>
      </w:r>
    </w:p>
    <w:p>
      <w:r>
        <w:t xml:space="preserve">4. Theoretische Medizin,</w:t>
      </w:r>
    </w:p>
    <w:p>
      <w:r>
        <w:t xml:space="preserve">5. Ökologische Medizin,</w:t>
      </w:r>
    </w:p>
    <w:p>
      <w:r>
        <w:t xml:space="preserve">6. Methodisch-technische Medizin und</w:t>
      </w:r>
    </w:p>
    <w:p>
      <w:r>
        <w:t xml:space="preserve">in Verbindungen dieser Fachrichtungen, wenn dies im Hinblick auf die medizinische Entwicklung und eine angemessene ärztliche Versorgung erforderlich ist.</w:t>
      </w:r>
    </w:p>
    <w:p>
      <w:r>
        <w:t xml:space="preserve">(2) Die Bestimmung von Bezeichnungen ist aufzuheben, wenn die in Abs. 1 genannten Voraussetzungen nicht mehr gegeben sind.</w:t>
      </w:r>
    </w:p>
    <w:p>
      <w:r>
        <w:t xml:space="preserve">(3) Gebietsbezeichnungen sind auch die Bezeichnungen „Allgemeinmedizin“ und „Öffentliches Gesundheitswesen“.</w:t>
      </w:r>
    </w:p>
    <w:p>
      <w:r>
        <w:t xml:space="preserve">(4) Die in der Weiterbildungsordnung festzulegenden Voraussetzungen für den Erwerb der die Allgemeinmedizin betreffenden Gebietsbezeichnung müssen den Mindestanforderungen genügen, die an die besondere Ausbildung in der Allgemeinmedizin gemäß Art. 28 der Richtlinie 2005/36/EG gestellt werden. Die hiernach vorgesehene Gebietsbezeichnung muss ferner der gemäß Art. 21 Abs. 7 Unterabs. 2 der Richtlinie nach Satz 1 einheitlich für die Bundesrepublik Deutschland im Amtsblatt der Europäischen Union bekannt gemachten Bezeichnung entsprechen.</w:t>
      </w:r>
    </w:p>
    <w:p>
      <w:r>
        <w:rPr>
          <w:color w:val="555555"/>
          <w:sz w:val="17"/>
        </w:rPr>
        <w:t xml:space="preserve">Zitiervorschlag: Art 28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