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HKaG (Bayern) — Inhalt der Berufsordnung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Berufsordnung kann weitere Vorschriften über Berufspflichten im Rahmen des Art. 17 enthalten, insbesondere über</w:t>
      </w:r>
    </w:p>
    <w:p>
      <w:r>
        <w:t xml:space="preserve">1. die Einhaltung der Schweigepflicht und der sonst für die Berufsausübung geltenden Rechtsvorschriften,</w:t>
      </w:r>
    </w:p>
    <w:p>
      <w:r>
        <w:t xml:space="preserve">2. die Ausstellung von Gutachten und Zeugnissen,</w:t>
      </w:r>
    </w:p>
    <w:p>
      <w:r>
        <w:t xml:space="preserve">3. die Praxisankündigung und Praxiseinrichtung,</w:t>
      </w:r>
    </w:p>
    <w:p>
      <w:r>
        <w:t xml:space="preserve">4. die Durchführung von Sprechstunden und Hausbesuchen,</w:t>
      </w:r>
    </w:p>
    <w:p>
      <w:r>
        <w:t xml:space="preserve">5. die gemeinsame Ausübung der Berufstätigkeit,</w:t>
      </w:r>
    </w:p>
    <w:p>
      <w:r>
        <w:t xml:space="preserve">6. die Angemessenheit und Nachprüfbarkeit des Honorars,</w:t>
      </w:r>
    </w:p>
    <w:p>
      <w:r>
        <w:t xml:space="preserve">7. das Ausmaß des Verbots oder der Beschränkung der Werbung,</w:t>
      </w:r>
    </w:p>
    <w:p>
      <w:r>
        <w:t xml:space="preserve">8. die Verordnung und Empfehlung von Heil- und Hilfsmitteln,</w:t>
      </w:r>
    </w:p>
    <w:p>
      <w:r>
        <w:t xml:space="preserve">9. das berufliche Verhalten gegenüber anderen Berufsangehörigen und die Zusammenarbeit mit Angehörigen anderer Berufe,</w:t>
      </w:r>
    </w:p>
    <w:p>
      <w:r>
        <w:t xml:space="preserve">10. die Beschäftigung von Vertretern, Assistenten und sonstigen Mitarbeitern,</w:t>
      </w:r>
    </w:p>
    <w:p>
      <w:r>
        <w:t xml:space="preserve">11. die Ausbildung von Personal,</w:t>
      </w:r>
    </w:p>
    <w:p>
      <w:r>
        <w:t xml:space="preserve">12. die Beteiligung an Maßnahmen der Qualitätssicherung,</w:t>
      </w:r>
    </w:p>
    <w:p>
      <w:r>
        <w:t xml:space="preserve">13. die Beratung in berufsethischen und berufsrechtlichen Fragen vor der Durchführung</w:t>
      </w:r>
    </w:p>
    <w:p>
      <w:r>
        <w:t xml:space="preserve">a) klinischer Versuche am Menschen,</w:t>
      </w:r>
    </w:p>
    <w:p>
      <w:r>
        <w:t xml:space="preserve">b) epidemiologischer Forschungsvorhaben mit personenbezogenen Daten,</w:t>
      </w:r>
    </w:p>
    <w:p>
      <w:r>
        <w:t xml:space="preserve">c) der Forschung mit vitalen menschlichen Gameten und Embryonen.</w:t>
      </w:r>
    </w:p>
    <w:p>
      <w:r>
        <w:rPr>
          <w:color w:val="555555"/>
          <w:sz w:val="17"/>
        </w:rPr>
        <w:t xml:space="preserve">Zitiervorschlag: Art 19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