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HKaG (Bayern) — Aufsicht über die Landesärztekammer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Landesärztekammer steht unter der Aufsicht des Staatsministeriums. Dieses kann insbesondere zu den Kammersitzungen Vertreter entsenden, denen auf Verlangen jederzeit das Wort erteilt werden muss. Art. 9 Satz 2 und 3 finden entsprechende Anwendung.</w:t>
      </w:r>
    </w:p>
    <w:p>
      <w:r>
        <w:t xml:space="preserve">(2) Bei der Wahrnehmung von Aufgaben nach dem Strahlenschutzgesetz und der Strahlenschutzverordnung unterliegt die Landesärztekammer der Fachaufsicht des Staatsministeriums für Umwelt und Verbraucherschutz. Art. 109 Abs. 2 und Art. 116 Abs. 1 GO finden entsprechende Anwendung.</w:t>
      </w:r>
    </w:p>
    <w:p>
      <w:r>
        <w:rPr>
          <w:color w:val="555555"/>
          <w:sz w:val="17"/>
        </w:rPr>
        <w:t xml:space="preserve">Zitiervorschlag: Art 16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