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HKaG (Bayern) — Satzung und Vertretung der Landesärztekammer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Landesärztekammer gibt sich eine Satzung, die der Genehmigung des Staatsministeriums bedarf.</w:t>
      </w:r>
    </w:p>
    <w:p>
      <w:r>
        <w:t xml:space="preserve">(2) Das erste vorsitzende Vorstandsmitglied und jedes der stellvertretenden vorsitzenden Vorstandsmitglieder vertreten die Landesärztekammer nach Maßgabe der Satzung nach außen.</w:t>
      </w:r>
    </w:p>
    <w:p>
      <w:r>
        <w:rPr>
          <w:color w:val="555555"/>
          <w:sz w:val="17"/>
        </w:rPr>
        <w:t xml:space="preserve">Zitiervorschlag: Art 14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