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HKWAbfV</w:t>
      </w:r>
    </w:p>
    <w:p>
      <w:r>
        <w:rPr>
          <w:color w:val="555555"/>
          <w:sz w:val="18"/>
        </w:rPr>
        <w:t xml:space="preserve">Verordnung über die Entsorgung gebrauchter halogenierter Lösemittel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HKWAbfV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https://recht.nulegal.eu/gesetze/HKWAbfV/schlussformel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