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HKWAbfV — Ordnungswidrigkeiten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18 Abs. 1 Nr. 11 des Abfallgesetzes handelt, wer vorsätzlich oder fahrlässig</w:t>
      </w:r>
    </w:p>
    <w:p>
      <w:pPr>
        <w:ind w:left="420"/>
      </w:pPr>
      <w:r>
        <w:t xml:space="preserve">1. Lösemittel, die nach Gebrauch als Abfall entsorgt werden müssen,</w:t>
      </w:r>
    </w:p>
    <w:p>
      <w:pPr>
        <w:ind w:left="780"/>
      </w:pPr>
      <w:r>
        <w:t xml:space="preserve">a) entgegen § 2 Abs. 1 nicht getrennt hält oder</w:t>
      </w:r>
    </w:p>
    <w:p>
      <w:pPr>
        <w:ind w:left="780"/>
      </w:pPr>
      <w:r>
        <w:t xml:space="preserve">b) entgegen § 2 Abs. 2 vermischt,</w:t>
      </w:r>
    </w:p>
    <w:p>
      <w:pPr>
        <w:ind w:left="420"/>
      </w:pPr>
      <w:r>
        <w:t xml:space="preserve">2. entgegen § 3 Abs. 1 in Verbindung mit Abs. 2 Lösemittel nicht zurücknimmt oder die Rücknahme nicht sicherstellt,</w:t>
      </w:r>
    </w:p>
    <w:p>
      <w:pPr>
        <w:ind w:left="420"/>
      </w:pPr>
      <w:r>
        <w:t xml:space="preserve">3. entgegen § 4 Satz 1 eine Erklärung über die Art und Verwendung eines in Nummer 1 genannten Lösemittels nicht, nicht richtig oder nicht vollständig abgibt oder</w:t>
      </w:r>
    </w:p>
    <w:p>
      <w:pPr>
        <w:ind w:left="420"/>
      </w:pPr>
      <w:r>
        <w:t xml:space="preserve">4. entgegen § 5 Lösemittel ohne die vorgeschriebene Kennzeichnung in Verkehr bringt.</w:t>
      </w:r>
    </w:p>
    <w:p>
      <w:r>
        <w:t xml:space="preserve">(2) Ordnungswidrig im Sinne des § 62 Abs. 1 Nr. 2 des Bundes-Immissionsschutzgesetzes handelt, wer vorsätzlich oder fahrlässig</w:t>
      </w:r>
    </w:p>
    <w:p>
      <w:pPr>
        <w:ind w:left="420"/>
      </w:pPr>
      <w:r>
        <w:t xml:space="preserve">1. Lösemittel, die nach Gebrauch als Reststoff verwertet werden müssen,</w:t>
      </w:r>
    </w:p>
    <w:p>
      <w:pPr>
        <w:ind w:left="780"/>
      </w:pPr>
      <w:r>
        <w:t xml:space="preserve">a) entgegen § 2 Abs. 1 nicht getrennt hält oder</w:t>
      </w:r>
    </w:p>
    <w:p>
      <w:pPr>
        <w:ind w:left="780"/>
      </w:pPr>
      <w:r>
        <w:t xml:space="preserve">b) entgegen § 2 Abs. 2 vermischt oder</w:t>
      </w:r>
    </w:p>
    <w:p>
      <w:pPr>
        <w:ind w:left="420"/>
      </w:pPr>
      <w:r>
        <w:t xml:space="preserve">2. entgegen § 4 Satz 1 eine Erklärung über die Art und Verwendung eines in Nummer 1 genannten Lösemittels nicht, nicht richtig oder nicht vollständig abgibt.</w:t>
      </w:r>
    </w:p>
    <w:p>
      <w:r>
        <w:rPr>
          <w:color w:val="555555"/>
          <w:sz w:val="17"/>
        </w:rPr>
        <w:t xml:space="preserve">Zitiervorschlag: § 6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