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HKWAbfV — Kennzeichnung</w:t>
      </w:r>
    </w:p>
    <w:p>
      <w:r>
        <w:rPr>
          <w:color w:val="555555"/>
          <w:sz w:val="18"/>
        </w:rPr>
        <w:t xml:space="preserve">Verordnung über die Entsorgung gebrauchter halogenierter Lösemittel</w:t>
      </w:r>
    </w:p>
    <w:p>
      <w:r>
        <w:rPr>
          <w:color w:val="555555"/>
          <w:sz w:val="18"/>
        </w:rPr>
        <w:t xml:space="preserve">Stand: 10.06.2019 (konsolidierte Textfassung, kein amtliches Inkrafttretensdatum)</w:t>
      </w:r>
    </w:p>
    <w:p>
      <w:r>
        <w:t xml:space="preserve">Lösemittel dürfen in Gebinden nur in Verkehr gebracht werden, wenn diese durch leicht erkennbaren und lesbaren Aufdruck, Prägung oder Aufkleber folgendermaßen gekennzeichnet sind: "Dieses Lösemittel ist nach Gebrauch einer Verwertung oder Entsorgung zuzuführen! Unsachgemäße Beseitigung gefährdet die Umwelt! Nach Gebrauch ist jede Beimischung von Fremdstoffen oder Lösemitteln anderer Art verboten". Darüber hinaus muß die Kennzeichnung den Hauptbestandteil des Ausgangsproduktes (§ 2 Abs. 1) und den Siedepunkt (§ 1 Abs. 2) ausweisen. Bei loser Ware muß die Kennzeichnung nach den Sätzen 1 und 2 in den Begleitpapieren erfolgen.</w:t>
      </w:r>
    </w:p>
    <w:p>
      <w:r>
        <w:rPr>
          <w:color w:val="555555"/>
          <w:sz w:val="17"/>
        </w:rPr>
        <w:t xml:space="preserve">Zitiervorschlag: § 5 HKWAbfV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https://recht.nulegal.eu/gesetze/HKWAbfV/5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