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HKWAbfV — Rücknahmeverpflichtung</w:t>
      </w:r>
    </w:p>
    <w:p>
      <w:r>
        <w:rPr>
          <w:color w:val="555555"/>
          <w:sz w:val="18"/>
        </w:rPr>
        <w:t xml:space="preserve">Verordnung über die Entsorgung gebrauchter halogenierter Lösemittel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als Vertreiber Lösemittel in Mengen von 10 l oder mehr innerhalb eines Monats an einen Betreiber der in § 1 Abs. 1 genannten Anlagen abgibt, ist verpflichtet, von diesem Betreiber die nach § 2 Abs. 2 unvermischten gebrauchten Lösemittel zurückzunehmen oder die Rücknahme durch einen von ihm zu bestimmenden Dritten sicherzustellen.</w:t>
      </w:r>
    </w:p>
    <w:p>
      <w:r>
        <w:t xml:space="preserve">(2) Die Rücknahmeverpflichtung nach Absatz 1 bezieht sich auf Art und Menge der abgegebenen Lösemittel, zuzüglich der verfahrensbedingt bei ordnungsgemäßem Gebrauch hinzugekommenen oder hinzugefügten sonstigen Stoffe oder Zubereitungen.</w:t>
      </w:r>
    </w:p>
    <w:p>
      <w:r>
        <w:rPr>
          <w:color w:val="555555"/>
          <w:sz w:val="17"/>
        </w:rPr>
        <w:t xml:space="preserve">Zitiervorschlag: § 3 HKWAbfV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https://recht.nulegal.eu/gesetze/HKWAbfV/3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