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HKWAbfV — Getrennte Haltung, Vermischungsverbote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der in § 1 Abs. 1 genannten Anlagen haben Lösemittel nach Gebrauch getrennt entsprechend dem Hauptbestandteil des jeweiligen Ausgangsproduktes wie Dichlormethan (Methylenchlorid), Trichlormethan Tetrachlormethan, 1,2-Dichlorethan, 1,1,1-Trichlorethan (Methylchloroform), Trichlorethen (Trichlorethylen, TRI), Tetrachlorethen (Perchlorethylen, PER), Trichlorfluormethan (R-11), 1,1,2,2-Tetrachlor-1,2-difluorethan (R-112) oder Trichlor-1,2,2-trifluorethan (R-113) zu halten.</w:t>
      </w:r>
    </w:p>
    <w:p>
      <w:r>
        <w:t xml:space="preserve">(2) Es ist verboten, Lösemittel unterschiedlicher Ausgangsprodukte nach Gebrauch untereinander oder mit anderen Stoffen oder Abfällen, insbesondere solchen im Sinne des § 2 Abs. 2 des Abfallgesetzes, zu vermischen.</w:t>
      </w:r>
    </w:p>
    <w:p>
      <w:r>
        <w:rPr>
          <w:color w:val="555555"/>
          <w:sz w:val="17"/>
        </w:rPr>
        <w:t xml:space="preserve">Zitiervorschlag: § 2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