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HKStG — Aufsicht</w:t>
      </w:r>
    </w:p>
    <w:p>
      <w:r>
        <w:rPr>
          <w:color w:val="555555"/>
          <w:sz w:val="18"/>
        </w:rPr>
        <w:t xml:space="preserve">Gesetz über die Heimkehrerstiftung</w:t>
      </w:r>
    </w:p>
    <w:p>
      <w:r>
        <w:rPr>
          <w:color w:val="555555"/>
          <w:sz w:val="18"/>
        </w:rPr>
        <w:t xml:space="preserve">Stand: 03.07.2020 (konsolidierte Textfassung, kein amtliches Inkrafttretensdatum)</w:t>
      </w:r>
    </w:p>
    <w:p>
      <w:r>
        <w:t xml:space="preserve">Das Bundesministerium des Innern, für Bau und Heimat erlässt allgemeine Verwaltungsvorschriften zur Ausführung dieses Gesetzes durch das Bundesverwaltungsamt.</w:t>
      </w:r>
    </w:p>
    <w:p>
      <w:r>
        <w:rPr>
          <w:color w:val="555555"/>
          <w:sz w:val="17"/>
        </w:rPr>
        <w:t xml:space="preserve">Zitiervorschlag: § 10 HKStG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https://recht.nulegal.eu/gesetze/HKStG/10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