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HKEntschG — Kostentragung</w:t>
      </w:r>
    </w:p>
    <w:p>
      <w:r>
        <w:rPr>
          <w:color w:val="555555"/>
          <w:sz w:val="18"/>
        </w:rPr>
        <w:t xml:space="preserve">Heimkehrerentschädigungsgesetz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trägt die Aufwendungen nach § 4 dieses Gesetzes.</w:t>
      </w:r>
    </w:p>
    <w:p>
      <w:r>
        <w:rPr>
          <w:color w:val="555555"/>
          <w:sz w:val="17"/>
        </w:rPr>
        <w:t xml:space="preserve">Zitiervorschlag: § 5 HKEntschG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https://recht.nulegal.eu/gesetze/HKEntschG/5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