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HKEntschG — Höhe der Entschädigung</w:t>
      </w:r>
    </w:p>
    <w:p>
      <w:r>
        <w:rPr>
          <w:color w:val="555555"/>
          <w:sz w:val="18"/>
        </w:rPr>
        <w:t xml:space="preserve">Heimkehrerentschädigungsgesetz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der einmaligen Entschädigung für jeden Berechtigten beträgt, gestaffelt nach der Dauer des Gewahrsams:</w:t>
      </w:r>
    </w:p>
    <w:p>
      <w:pPr>
        <w:ind w:left="420"/>
      </w:pPr>
      <w:r>
        <w:t xml:space="preserve">1. für die Entlassungsjahrgänge 1947 und 1948 500 Euro,</w:t>
      </w:r>
    </w:p>
    <w:p>
      <w:pPr>
        <w:ind w:left="420"/>
      </w:pPr>
      <w:r>
        <w:t xml:space="preserve">2. für die Entlassungsjahrgänge 1949 und 1950 1.000 Euro,</w:t>
      </w:r>
    </w:p>
    <w:p>
      <w:pPr>
        <w:ind w:left="420"/>
      </w:pPr>
      <w:r>
        <w:t xml:space="preserve">3. für die Entlassungsjahrgänge ab 1951 1.500 Euro.</w:t>
      </w:r>
    </w:p>
    <w:p>
      <w:r>
        <w:t xml:space="preserve">(2) Der Anspruch unterliegt in der Person des unmittelbar Berechtigten nicht der Zwangsvollstreckung und bleibt bei Sozialleistungen, deren Gewährung von anderen Einkünften abhängig ist, unberücksichtigt.</w:t>
      </w:r>
    </w:p>
    <w:p>
      <w:r>
        <w:rPr>
          <w:color w:val="555555"/>
          <w:sz w:val="17"/>
        </w:rPr>
        <w:t xml:space="preserve">Zitiervorschlag: § 4 HKEntschG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https://recht.nulegal.eu/gesetze/HKEntschG/4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