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HIVHG — Stiftungsvorstand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Stiftungsvorstand besteht aus dem vorsitzenden Mitglied und höchstens zwei weiteren Mitgliedern. § 8 Abs. 4 gilt entsprechend.</w:t>
      </w:r>
    </w:p>
    <w:p>
      <w:r>
        <w:t xml:space="preserve">(2) Die Mitglieder des Stiftungsvorstandes werden vom Bundesministerium für Gesundheit mit Zustimmung des Stiftungsrates bestellt.</w:t>
      </w:r>
    </w:p>
    <w:p>
      <w:r>
        <w:t xml:space="preserve">(3) Der Stiftungsvorstand führt die Beschlüsse des Stiftungsrates aus und führt die Geschäfte der Stiftung. Er vertritt die Stiftung gerichtlich und außergerichtlich.</w:t>
      </w:r>
    </w:p>
    <w:p>
      <w:r>
        <w:t xml:space="preserve">(4) Das Nähere regelt die Satzung.</w:t>
      </w:r>
    </w:p>
    <w:p>
      <w:r>
        <w:rPr>
          <w:color w:val="555555"/>
          <w:sz w:val="17"/>
        </w:rPr>
        <w:t xml:space="preserve">Zitiervorschlag: § 9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