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HIVHG — Stifter, Stiftungsvermögen</w:t>
      </w:r>
    </w:p>
    <w:p>
      <w:r>
        <w:rPr>
          <w:color w:val="555555"/>
          <w:sz w:val="18"/>
        </w:rPr>
        <w:t xml:space="preserve">HIV-Hilfegesetz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Stifter sind der Bund, die pharmazeutischen Unternehmen Bayer AG, Immuno GmbH, Baxter Deutschland GmbH, Behringwerke AG, Armour Pharma GmbH, Alpha Therapeutic GmbH und die Blutspendedienste des Deutschen Roten Kreuzes.</w:t>
      </w:r>
    </w:p>
    <w:p>
      <w:r>
        <w:t xml:space="preserve">(2) Das Stiftungsvermögen beträgt 3 Millionen Deutsche Mark.</w:t>
      </w:r>
    </w:p>
    <w:p>
      <w:r>
        <w:t xml:space="preserve">(3) Die Stiftung ist berechtigt, Zuwendungen von dritter Seite anzunehmen.</w:t>
      </w:r>
    </w:p>
    <w:p>
      <w:r>
        <w:rPr>
          <w:color w:val="555555"/>
          <w:sz w:val="17"/>
        </w:rPr>
        <w:t xml:space="preserve">Zitiervorschlag: § 5 HIVHG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https://recht.nulegal.eu/gesetze/HIVHG/5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