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HIVHG — Errichtung und Sitz</w:t>
      </w:r>
    </w:p>
    <w:p>
      <w:r>
        <w:rPr>
          <w:color w:val="555555"/>
          <w:sz w:val="18"/>
        </w:rPr>
        <w:t xml:space="preserve">HIV-Hilfegesetz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Unter dem Namen "Humanitäre Hilfe für durch Blutprodukte HIV-infizierte Personen" wird eine rechtsfähige Stiftung des öffentlichen Rechts errichtet. Die Stiftung gilt als mit dem Inkrafttreten dieses Gesetzes entstanden.</w:t>
      </w:r>
    </w:p>
    <w:p>
      <w:r>
        <w:t xml:space="preserve">(2) Der Sitz der Stiftung ist Bonn.</w:t>
      </w:r>
    </w:p>
    <w:p>
      <w:r>
        <w:rPr>
          <w:color w:val="555555"/>
          <w:sz w:val="17"/>
        </w:rPr>
        <w:t xml:space="preserve">Zitiervorschlag: § 3 HIVHG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https://recht.nulegal.eu/gesetze/HIVHG/3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