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HIVHG — Ausschluß von Ansprüchen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Ansprüche von Personen, die nach Abschnitt 2 Leistungen erhalten, gegen die Bundesrepublik Deutschland, die Blutspendedienste des Deutschen Roten Kreuzes und die in § 5 Absatz 1 genannten pharmazeutischen Unternehmen sowie die mit ihnen verbundenen Unternehmen wegen einer von diesem Gesetz erfaßten HIV-Infektion oder AIDS-Erkrankung erlöschen. Das gilt auch, soweit Ansprüche kraft Gesetzes, kraft Überleitung oder durch Rechtsgeschäft auf andere übertragen worden sind.</w:t>
      </w:r>
    </w:p>
    <w:p>
      <w:r>
        <w:t xml:space="preserve">(2) Absatz 1 gilt nicht für Ansprüche nach dem Sechzehnten Abschnitt des Arzneimittelgesetzes, sofern hierauf nicht bereits abschließende Leistungen erbracht worden sind.</w:t>
      </w:r>
    </w:p>
    <w:p>
      <w:r>
        <w:rPr>
          <w:color w:val="555555"/>
          <w:sz w:val="17"/>
        </w:rPr>
        <w:t xml:space="preserve">Zitiervorschlag: § 20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