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HIVHG — Steuerfreiheit, Anrechnung auf andere Leistungen</w:t>
      </w:r>
    </w:p>
    <w:p>
      <w:r>
        <w:rPr>
          <w:color w:val="555555"/>
          <w:sz w:val="18"/>
        </w:rPr>
        <w:t xml:space="preserve">HIV-Hilfegesetz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Stiftung werden nicht auf andere Leistungen aus öffentlichen Mitteln angerechnet und auch nicht bei der gesetzlich vorgesehenen Ermittlung von Einkommen und Vermögen berücksichtigt.</w:t>
      </w:r>
    </w:p>
    <w:p>
      <w:r>
        <w:t xml:space="preserve">(2) Die Ansprüche auf Leistungen der Stiftung können nicht übertragen, verpfändet oder gepfändet werden.</w:t>
      </w:r>
    </w:p>
    <w:p>
      <w:r>
        <w:rPr>
          <w:color w:val="555555"/>
          <w:sz w:val="17"/>
        </w:rPr>
        <w:t xml:space="preserve">Zitiervorschlag: § 17 HIVHG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https://recht.nulegal.eu/gesetze/HIVHG/17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