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HIVHG — Aufsicht, Haushalt, Rechnungslegung, Rechnungsprüfung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Aufsicht des Bundesministeriums für Gesundheit.</w:t>
      </w:r>
    </w:p>
    <w:p>
      <w:r>
        <w:t xml:space="preserve">(2) Die Stiftung hat rechtzeitig vor Beginn jedes Geschäftsjahres einen Haushaltsplan aufzustellen. Der Haushaltsplan bedarf der Genehmigung des Bundesministeriums für Gesundheit. Das Nähere regelt die Satzung.</w:t>
      </w:r>
    </w:p>
    <w:p>
      <w:r>
        <w:t xml:space="preserve">(3) Die Stiftung ist den Stiftern nach § 5 Absatz 1 rechnungslegungspflichtig. Die Einnahmen- und Ausgabenrechnung sowie die Mitteilung über die Gesamtkosten der Stiftung werden jeweils nach Abschluß des Kalenderjahres, spätestens bis zum 31. März des folgenden Jahres, vorgelegt.</w:t>
      </w:r>
    </w:p>
    <w:p>
      <w:r>
        <w:t xml:space="preserve">(4) Rechnungsprüfungsbehörde ist der Bundesrechnungshof.</w:t>
      </w:r>
    </w:p>
    <w:p>
      <w:r>
        <w:rPr>
          <w:color w:val="555555"/>
          <w:sz w:val="17"/>
        </w:rPr>
        <w:t xml:space="preserve">Zitiervorschlag: § 11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