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HHGSchäV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4 Absatz 6 Satz 1 des Häftlingshilfegesetzes</w:t>
      </w:r>
    </w:p>
    <w:p>
      <w:r>
        <w:rPr>
          <w:color w:val="555555"/>
          <w:sz w:val="18"/>
        </w:rPr>
        <w:t xml:space="preserve">Stand: 14.05.2026 (konsolidierte Textfassung, kein amtliches Inkrafttretensdatum)</w:t>
      </w:r>
    </w:p>
    <w:p>
      <w:r>
        <w:t xml:space="preserve">Das Bundesministerium des Innern verordnet aufgrund des § 4 Absatz 6 Satz 2 des Häftlingshilfegesetzes in der Fassung der Bekanntmachung vom 2. Juni 1993 (BGBl. I S. 838), das zuletzt durch Artikel 2 des Gesetzes vom 25. Februar 2025 (BGBl. 2025 I Nr. 63)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 im Einvernehmen mit dem Bundesministerium für Gesundheit und dem Bundesministerium für Arbeit und Soziales sowie im Benehmen mit der Bundesbeauftragten für die Opfer der SED-Diktatur beim Deutschen Bundestag:</w:t>
      </w:r>
    </w:p>
    <w:p>
      <w:r>
        <w:rPr>
          <w:color w:val="555555"/>
          <w:sz w:val="17"/>
        </w:rPr>
        <w:t xml:space="preserve">Zitiervorschlag: Eingangsformel HHGSchäV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https://recht.nulegal.eu/gesetze/HHGSch%C3%A4V/eingangsformel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