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HHGSchäV — Inkrafttreten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4 Absatz 6 Satz 1 des Häftlingshilfegesetzes</w:t>
      </w:r>
    </w:p>
    <w:p>
      <w:r>
        <w:rPr>
          <w:color w:val="555555"/>
          <w:sz w:val="18"/>
        </w:rPr>
        <w:t xml:space="preserve">Stand: 14.05.2026 (konsolidierte Textfassung, kein amtliches Inkrafttretensdatum)</w:t>
      </w:r>
    </w:p>
    <w:p>
      <w:r>
        <w:t xml:space="preserve">Diese Verordnung tritt mit Wirkung vom 1. Juli 2025 in Kraft.</w:t>
      </w:r>
    </w:p>
    <w:p>
      <w:r>
        <w:rPr>
          <w:color w:val="555555"/>
          <w:sz w:val="17"/>
        </w:rPr>
        <w:t xml:space="preserve">Zitiervorschlag: § 3 HHGSchäV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https://recht.nulegal.eu/gesetze/HHGSch%C3%A4V/3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