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HHGSchäV — Gesundheitliche Schädigungen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4 Absatz 6 Satz 1 des Häftlingshilfegesetzes</w:t>
      </w:r>
    </w:p>
    <w:p>
      <w:r>
        <w:rPr>
          <w:color w:val="555555"/>
          <w:sz w:val="18"/>
        </w:rPr>
        <w:t xml:space="preserve">Stand: 14.05.2026 (konsolidierte Textfassung, kein amtliches Inkrafttretensdatum)</w:t>
      </w:r>
    </w:p>
    <w:p>
      <w:r>
        <w:t xml:space="preserve">Gesundheitliche Schädigungen im Sinne des § 4 Absatz 6 Satz 1 des Häftlingshilfegesetzes sind folgende gesundheitliche Beeinträchtigungen:</w:t>
      </w:r>
    </w:p>
    <w:p>
      <w:pPr>
        <w:ind w:left="420"/>
      </w:pPr>
      <w:r>
        <w:t xml:space="preserve">1. depressive Störungen,</w:t>
      </w:r>
    </w:p>
    <w:p>
      <w:pPr>
        <w:ind w:left="420"/>
      </w:pPr>
      <w:r>
        <w:t xml:space="preserve">2. angst- oder furchtbezogene Störungen,</w:t>
      </w:r>
    </w:p>
    <w:p>
      <w:pPr>
        <w:ind w:left="420"/>
      </w:pPr>
      <w:r>
        <w:t xml:space="preserve">3. somatische Belastungsstörungen oder Störungen der Körpererfahrung sowie</w:t>
      </w:r>
    </w:p>
    <w:p>
      <w:pPr>
        <w:ind w:left="420"/>
      </w:pPr>
      <w:r>
        <w:t xml:space="preserve">4. posttraumatische Belastungsstörungen.</w:t>
      </w:r>
    </w:p>
    <w:p>
      <w:r>
        <w:rPr>
          <w:color w:val="555555"/>
          <w:sz w:val="17"/>
        </w:rPr>
        <w:t xml:space="preserve">Zitiervorschlag: § 2 HHGSchäV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https://recht.nulegal.eu/gesetze/HHGSch%C3%A4V/2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