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HHGSchäV — Schädigende Ereignisse</w:t>
      </w:r>
    </w:p>
    <w:p>
      <w:r>
        <w:rPr>
          <w:color w:val="555555"/>
          <w:sz w:val="18"/>
        </w:rPr>
        <w:t xml:space="preserve">Verordnung über die schädigenden Ereignisse und gesundheitlichen Schädigungen im Sinne des § 4 Absatz 6 Satz 1 des Häftlingshilfegesetzes</w:t>
      </w:r>
    </w:p>
    <w:p>
      <w:r>
        <w:rPr>
          <w:color w:val="555555"/>
          <w:sz w:val="18"/>
        </w:rPr>
        <w:t xml:space="preserve">Stand: 14.05.2026 (konsolidierte Textfassung, kein amtliches Inkrafttretensdatum)</w:t>
      </w:r>
    </w:p>
    <w:p>
      <w:r>
        <w:t xml:space="preserve">Schädigende Ereignisse im Sinne des § 4 Absatz 6 Satz 1 des Häftlingshilfegesetzes sind:</w:t>
      </w:r>
    </w:p>
    <w:p>
      <w:pPr>
        <w:ind w:left="420"/>
      </w:pPr>
      <w:r>
        <w:t xml:space="preserve">1. Gewahrsam im Sinne des § 1 des Häftlingshilfegesetzes von mindestens 30 Tagen Dauer und</w:t>
      </w:r>
    </w:p>
    <w:p>
      <w:pPr>
        <w:ind w:left="420"/>
      </w:pPr>
      <w:r>
        <w:t xml:space="preserve">2. Maßnahmen zur Verhinderung der Flucht im Sinne des § 1 Absatz 1 der Verordnung über die Gleichstellung von Personen nach § 3 des Häftlingshilfegesetzes unter den dort genannten Voraussetzungen.</w:t>
      </w:r>
    </w:p>
    <w:p>
      <w:r>
        <w:rPr>
          <w:color w:val="555555"/>
          <w:sz w:val="17"/>
        </w:rPr>
        <w:t xml:space="preserve">Zitiervorschlag: § 1 HHGSchäV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https://recht.nulegal.eu/gesetze/HHGSch%C3%A4V/1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