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25b HHG — Sonstige Vorschriften</w:t>
      </w:r>
    </w:p>
    <w:p>
      <w:r>
        <w:rPr>
          <w:color w:val="555555"/>
          <w:sz w:val="18"/>
        </w:rPr>
        <w:t xml:space="preserve">Häftlingshilfegesetz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Leistungen nach den §§ 9a bis 9c unterliegen in der Person des unmittelbar Berechtigten nicht der Zwangsvollstreckung.</w:t>
      </w:r>
    </w:p>
    <w:p>
      <w:r>
        <w:rPr>
          <w:color w:val="555555"/>
          <w:sz w:val="17"/>
        </w:rPr>
        <w:t xml:space="preserve">Zitiervorschlag: § 25b HHG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https://recht.nulegal.eu/gesetze/HHG/25b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