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HHG 2026 (Nordrhein-Westfalen) — Deckung und Verstärkung von Personalausgaben</w:t>
      </w:r>
    </w:p>
    <w:p>
      <w:r>
        <w:rPr>
          <w:color w:val="555555"/>
          <w:sz w:val="18"/>
        </w:rPr>
        <w:t xml:space="preserve">Haushaltsgesetz 2026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Deckung</w:t>
      </w:r>
    </w:p>
    <w:p>
      <w:r>
        <w:t xml:space="preserve">Die Ausgaben der Gruppen 422, 427 und 428 sind abweichend von § 25 Absatz 2 mit Einwilligung des Ministeriums der Finanzen auch kapitelübergreifend innerhalb des Einzelplans gegenseitig deckungsfähig.</w:t>
      </w:r>
    </w:p>
    <w:p>
      <w:r>
        <w:t xml:space="preserve">(2) Verstärkung</w:t>
      </w:r>
    </w:p>
    <w:p>
      <w:r>
        <w:t xml:space="preserve">In den einzelnen Kapiteln fließen die Einnahmen aus</w:t>
      </w:r>
    </w:p>
    <w:p>
      <w:r>
        <w:t xml:space="preserve">1. Zuschüssen für die berufliche Eingliederung schwerbehinderter Menschen sowie aus Minderleistungsausgleichen bei der Beschäftigung schwerbehinderter Menschen und</w:t>
      </w:r>
    </w:p>
    <w:p>
      <w:r>
        <w:t xml:space="preserve">2. Zuweisungen im Rahmen von Maßnahmen zur Arbeitsbeschaffung</w:t>
      </w:r>
    </w:p>
    <w:p>
      <w:r>
        <w:t xml:space="preserve">den Ausgaben bei Titeln der Gruppen 422, 427, 428, 511 und 812 zu. Die Einnahmen aus dem Rahmenvertrag zur Personalbereitstellung mit der Deutschen Telekom AG – Vivento – (Einzelplan 20 Kapitel 20 020 Titel 282 10) dürfen zur Verstärkung der Ansätze für die Personalausgaben bei Titeln der Obergruppe 42 sowie der Ansätze für Zuschüsse an Landesbetriebe herangezogen werden.</w:t>
      </w:r>
    </w:p>
    <w:p>
      <w:r>
        <w:rPr>
          <w:color w:val="555555"/>
          <w:sz w:val="17"/>
        </w:rPr>
        <w:t xml:space="preserve">Zitiervorschlag: § 7 HHG 2026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https://recht.nulegal.eu/gesetze/HHG%202026/7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