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HHG 2026 (Nordrhein-Westfalen) — Einrichtung zusätzlicher Planstellen und Stellen im Zusammenhang mit der Umsetzung des Nordrhein-Westfalen-Plans für gute Infrastruktur</w:t>
      </w:r>
    </w:p>
    <w:p>
      <w:r>
        <w:rPr>
          <w:color w:val="555555"/>
          <w:sz w:val="18"/>
        </w:rPr>
        <w:t xml:space="preserve">Haushaltsgesetz 2026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Mit Einwilligung des Ministeriums der Finanzen können für die Umsetzung des Nordrhein-Westfalen-Plans für gute Infrastruktur zusätzliche Planstellen und Stellen mit einem kw-Vermerk eingerichtet werden.</w:t>
      </w:r>
    </w:p>
    <w:p>
      <w:r>
        <w:rPr>
          <w:color w:val="555555"/>
          <w:sz w:val="17"/>
        </w:rPr>
        <w:t xml:space="preserve">Zitiervorschlag: § 34 HHG 2026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https://recht.nulegal.eu/gesetze/HHG%202026/34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