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HHG 2026 (Nordrhein-Westfalen) — Verpflichtungsermächtigungen im Zusammenhang mit der Umsetzung des Nordrhein-Westfalen-Plans für gute Infrastruktur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Weitergeltung</w:t>
      </w:r>
    </w:p>
    <w:p>
      <w:r>
        <w:t xml:space="preserve">Die in den Einzelplänen zur Umsetzung des Nordrhein-Westfalen-Plans für gute Infrastruktur veranschlagten Verpflichtungsermächtigungen gelten abweichend von § 45 Absatz 1 Satz 2 der Landeshaushaltsordnung fort, soweit sie nicht in Anspruch genommen worden sind.</w:t>
      </w:r>
    </w:p>
    <w:p>
      <w:r>
        <w:t xml:space="preserve">(2) Inanspruchnahme</w:t>
      </w:r>
    </w:p>
    <w:p>
      <w:r>
        <w:t xml:space="preserve">Die Inanspruchnahme nicht ausgeschöpfter Verpflichtungsermächtigungen bedarf der Einwilligung des Ministeriums der Finanzen, soweit die einzelne Inanspruchnahme den Betrag von 5 000 000 Euro erreicht oder überschreitet. Bei der Inanspruchnahme von veranschlagten Verpflichtungsermächtigungen sind mit der Maßgabe der Einhaltung des Gesamtvolumens</w:t>
      </w:r>
    </w:p>
    <w:p>
      <w:r>
        <w:t xml:space="preserve">Abweichungen von den ursprünglich vorgesehenen Fälligkeiten zulässig.</w:t>
      </w:r>
    </w:p>
    <w:p>
      <w:r>
        <w:rPr>
          <w:color w:val="555555"/>
          <w:sz w:val="17"/>
        </w:rPr>
        <w:t xml:space="preserve">Zitiervorschlag: § 33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