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HHG 2026 (Nordrhein-Westfalen) — Förderung gemeinnütziger Zwecke durch Glücksspieleinnahmen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Zweckgebundene Verausgabung von Glücksspieleinnahmen</w:t>
      </w:r>
    </w:p>
    <w:p>
      <w:r>
        <w:t xml:space="preserve">Aus den Einnahmen aus dem Fußball-Toto, der Lotterie „KENO“, der Lotterie „Euro­jackpot“, der Losbrieflotterie mit sofortigem Gewinnentscheid, den Zusatzlotterien „Spiel 77“ und „PLUS 5“ wird für Zwecke im Sinne von § 10 des Ausführungs­gesetzes NRW Glücksspielstaatsvertrag vom 13. November 2012 (GV. NRW. S. 524), das zuletzt durch Artikel 1 des Gesetzes vom 23. Juni 2021 (GV. NRW. S. 772, ber. S. 1102) geändert worden ist, ein Festbetrag in Höhe von 108 100 000 Euro zweckgebunden verausgabt.</w:t>
      </w:r>
    </w:p>
    <w:p>
      <w:r>
        <w:t xml:space="preserve">(2) Regelung im Haushaltsplan</w:t>
      </w:r>
    </w:p>
    <w:p>
      <w:r>
        <w:t xml:space="preserve">In den Erläuterungen zu den jeweiligen Einnahmetiteln sind die zweckgebundene Verausgabung, der Vorwegabzug an die Hilfeeinrichtungen für Spielsüchtige, die Destinatäre sowie der Verteilungsschlüssel verbindlich festzulegen.</w:t>
      </w:r>
    </w:p>
    <w:p>
      <w:r>
        <w:t xml:space="preserve">(3) Verweisung</w:t>
      </w:r>
    </w:p>
    <w:p>
      <w:r>
        <w:t xml:space="preserve">Die Ausgaben können entsprechend § 29 Absatz 3, 4, 5 Satz 4 und 5 sowie Absatz 6 zur Verfügung gestellt werden.</w:t>
      </w:r>
    </w:p>
    <w:p>
      <w:r>
        <w:t xml:space="preserve">(4) Eigenmittel</w:t>
      </w:r>
    </w:p>
    <w:p>
      <w:r>
        <w:t xml:space="preserve">Die Ausgaben gelten bei den Destinatären als Eigenmittel.</w:t>
      </w:r>
    </w:p>
    <w:p>
      <w:r>
        <w:rPr>
          <w:color w:val="555555"/>
          <w:sz w:val="17"/>
        </w:rPr>
        <w:t xml:space="preserve">Zitiervorschlag: § 31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