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HHG 2026 (Nordrhein-Westfalen) — Selbstbewirtschaftungsmittel</w:t>
      </w:r>
    </w:p>
    <w:p>
      <w:r>
        <w:rPr>
          <w:color w:val="555555"/>
          <w:sz w:val="18"/>
        </w:rPr>
        <w:t xml:space="preserve">Haushaltsgesetz 2026</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Nach § 15 Absatz 3 Satz 4 der Landeshaushaltsordnung wird festgelegt, dass die Verfügbarkeit von Selbstbewirtschaftungsmitteln für Baumaßnahmen mit dem Haushaltsjahr endet, in dem der Bau in seinen wesentlichen Teilen in Gebrauch genommen wird. Baumaßnahmen, die im Rahmen einer Fördermaßnahme erfolgen, sind von der Ausnahmeregelung umfasst. Komplementärfinanzierungen von zeitlich befristeten Fördermitteln der Europäischen Union und des Bundes bleiben bis zum Ende der jeweiligen Förder- und Ausfinanzierungsphase verfügbar.</w:t>
      </w:r>
    </w:p>
    <w:p>
      <w:r>
        <w:rPr>
          <w:color w:val="555555"/>
          <w:sz w:val="17"/>
        </w:rPr>
        <w:t xml:space="preserve">Zitiervorschlag: § 17 HHG 2026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https://recht.nulegal.eu/gesetze/HHG%202026/17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