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HHG 2026 (Nordrhein-Westfalen) — Rücklagen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Bildung einer Rücklage wird gemäß § 62 Absatz 3 Satz 2 der Landeshaushaltsordnung zugelassen zu</w:t>
      </w:r>
    </w:p>
    <w:p>
      <w:r>
        <w:t xml:space="preserve">1. der Abdeckung insbesondere von krisenbedingten Haushaltsrisiken im Gesamthaushalt und</w:t>
      </w:r>
    </w:p>
    <w:p>
      <w:r>
        <w:t xml:space="preserve">2. der Umsetzung des Nordrhein-Westfalen-Plans für gute Infrastruktur.</w:t>
      </w:r>
    </w:p>
    <w:p>
      <w:r>
        <w:rPr>
          <w:color w:val="555555"/>
          <w:sz w:val="17"/>
        </w:rPr>
        <w:t xml:space="preserve">Zitiervorschlag: § 16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