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HGrG — Geltungsdauer der Haushaltspläne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Haushaltsplan kann für zwei Haushaltsjahre, nach Jahren getrennt, aufgestellt werden.</w:t>
      </w:r>
    </w:p>
    <w:p>
      <w:r>
        <w:t xml:space="preserve">(2) Der Haushaltsplan kann in einen Verwaltungshaushalt und in einen Finanzhaushalt gegliedert werden; beide können jeweils für zwei Haushaltsjahre, nach Jahren getrennt, aufgestellt werden. Die Bewilligungszeiträume für beide Haushalte können in aufeinanderfolgenden Haushaltsjahren beginnen.</w:t>
      </w:r>
    </w:p>
    <w:p>
      <w:r>
        <w:rPr>
          <w:color w:val="555555"/>
          <w:sz w:val="17"/>
        </w:rPr>
        <w:t xml:space="preserve">Zitiervorschlag: § 9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