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HGrG — Vollständigkeit und Einheit, Fälligkeitsprinzip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Für jedes Haushaltsjahr ist ein Haushaltsplan aufzustellen.</w:t>
      </w:r>
    </w:p>
    <w:p>
      <w:r>
        <w:t xml:space="preserve">(2) Der Haushaltsplan enthält alle im Haushaltsjahr</w:t>
      </w:r>
    </w:p>
    <w:p>
      <w:pPr>
        <w:ind w:left="420"/>
      </w:pPr>
      <w:r>
        <w:t xml:space="preserve">1. zu erwartenden Einnahmen,</w:t>
      </w:r>
    </w:p>
    <w:p>
      <w:pPr>
        <w:ind w:left="420"/>
      </w:pPr>
      <w:r>
        <w:t xml:space="preserve">2. voraussichtlich zu leistenden Ausgaben und</w:t>
      </w:r>
    </w:p>
    <w:p>
      <w:pPr>
        <w:ind w:left="420"/>
      </w:pPr>
      <w:r>
        <w:t xml:space="preserve">3. voraussichtlich benötigten Verpflichtungsermächtigungen.</w:t>
      </w:r>
    </w:p>
    <w:p>
      <w:r>
        <w:t xml:space="preserve">(3) Die Veranschlagung von Einnahmen und Ausgaben aus Verkauf und Kauf von selbst emittierten Wertpapieren im Haushaltsplan des Bundes erfolgt in periodengerechter Aufteilung entsprechend § 7b.</w:t>
      </w:r>
    </w:p>
    <w:p>
      <w:r>
        <w:rPr>
          <w:color w:val="555555"/>
          <w:sz w:val="17"/>
        </w:rPr>
        <w:t xml:space="preserve">Zitiervorschlag: § 8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