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7b HGrG — Periodengerechte Aufteilung von Zinskosten im Haushalt des Bundes</w:t>
      </w:r>
    </w:p>
    <w:p>
      <w:r>
        <w:rPr>
          <w:color w:val="555555"/>
          <w:sz w:val="18"/>
        </w:rPr>
        <w:t xml:space="preserve">Haushaltsgrundsätzegesetz</w:t>
      </w:r>
    </w:p>
    <w:p>
      <w:r>
        <w:rPr>
          <w:color w:val="555555"/>
          <w:sz w:val="18"/>
        </w:rPr>
        <w:t xml:space="preserve">Stand: 01.01.2025 (konsolidierte Textfassung, kein amtliches Inkrafttretensdatum)</w:t>
      </w:r>
    </w:p>
    <w:p>
      <w:r>
        <w:t xml:space="preserve">Im Haushalt des Bundes sind bei Verkauf und Kauf von selbst emittierten Wertpapieren die gesamten Zinskosten periodengerecht über die Laufzeit des jeweiligen Wertpapiers anteilig jeweils auf die Periode von Zahlungstermin zu Zahlungstermin aufzuteilen. Der Saldo aus Zinsausgaben und Krediteinnahme muss stets der Kassenwirkung der Zahlungen entsprechen.</w:t>
      </w:r>
    </w:p>
    <w:p>
      <w:r>
        <w:rPr>
          <w:color w:val="555555"/>
          <w:sz w:val="17"/>
        </w:rPr>
        <w:t xml:space="preserve">Zitiervorschlag: § 7b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