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HGrG — Wirtschaftlichkeit und Sparsamkeit, Kosten- und Leistungsrechnung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Aufstellung und Ausführung des Haushaltsplans sind die Grundsätze der Wirtschaftlichkeit und Sparsamkeit zu beachten.</w:t>
      </w:r>
    </w:p>
    <w:p>
      <w:r>
        <w:t xml:space="preserve">(2) Für alle finanzwirksamen Maßnahmen sind angemessene Wirtschaftlichkeitsuntersuchungen durchzuführen.</w:t>
      </w:r>
    </w:p>
    <w:p>
      <w:r>
        <w:t xml:space="preserve">(3) In geeigneten Bereichen soll eine Kosten- und Leistungsrechnung eingeführt werden.</w:t>
      </w:r>
    </w:p>
    <w:p>
      <w:r>
        <w:rPr>
          <w:color w:val="555555"/>
          <w:sz w:val="17"/>
        </w:rPr>
        <w:t xml:space="preserve">Zitiervorschlag: § 6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