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HGrG — (weggefallen)</w:t>
      </w:r>
    </w:p>
    <w:p>
      <w:r>
        <w:rPr>
          <w:color w:val="555555"/>
          <w:sz w:val="18"/>
        </w:rPr>
        <w:t xml:space="preserve">Haushaltsgrundsätzegesetz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59 HGrG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https://recht.nulegal.eu/gesetze/HGrG/59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