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HGrG — Unterrichtung der Rechnungsprüfungsbehörde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des § 53 kann in der Satzung (im Gesellschaftsvertrag) mit Dreiviertelmehrheit des vertretenen Kapitals bestimmt werden, daß sich die Rechnungsprüfungsbehörde der Gebietskörperschaft zur Klärung von Fragen, die bei der Prüfung nach § 44 auftreten, unmittelbar unterrichten und zu diesem Zweck den Betrieb, die Bücher und die Schriften des Unternehmens einsehen kann.</w:t>
      </w:r>
    </w:p>
    <w:p>
      <w:r>
        <w:t xml:space="preserve">(2) Ein vor dem Inkrafttreten dieses Gesetzes begründetes Recht der Rechnungsprüfungsbehörde auf unmittelbare Unterrichtung bleibt unberührt.</w:t>
      </w:r>
    </w:p>
    <w:p>
      <w:r>
        <w:rPr>
          <w:color w:val="555555"/>
          <w:sz w:val="17"/>
        </w:rPr>
        <w:t xml:space="preserve">Zitiervorschlag: § 54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