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HGrG — Rechte gegenüber privatrechtlichen Unternehmen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Gehört einer Gebietskörperschaft die Mehrheit der Anteile eines Unternehmens in einer Rechtsform des privaten Rechts oder gehört ihr mindestens der vierte Teil der Anteile und steht ihr zusammen mit anderen Gebietskörperschaften die Mehrheit der Anteile zu, so kann sie verlangen, daß das Unternehmen</w:t>
      </w:r>
    </w:p>
    <w:p>
      <w:pPr>
        <w:ind w:left="420"/>
      </w:pPr>
      <w:r>
        <w:t xml:space="preserve">1. im Rahmen der Abschlußprüfung auch die Ordnungsmäßigkeit der Geschäftsführung prüfen läßt;</w:t>
      </w:r>
    </w:p>
    <w:p>
      <w:pPr>
        <w:ind w:left="420"/>
      </w:pPr>
      <w:r>
        <w:t xml:space="preserve">2. die Abschlußprüfer beauftragt, in ihrem Bericht auch darzustellen</w:t>
      </w:r>
    </w:p>
    <w:p>
      <w:pPr>
        <w:ind w:left="780"/>
      </w:pPr>
      <w:r>
        <w:t xml:space="preserve">a) die Entwicklung der Vermögens- und Ertragslage sowie die Liquidität und Rentabilität der Gesellschaft,</w:t>
      </w:r>
    </w:p>
    <w:p>
      <w:pPr>
        <w:ind w:left="780"/>
      </w:pPr>
      <w:r>
        <w:t xml:space="preserve">b) verlustbringende Geschäfte und die Ursachen der Verluste, wenn diese Geschäfte und die Ursachen für die Vermögens- und Ertragslage von Bedeutung waren,</w:t>
      </w:r>
    </w:p>
    <w:p>
      <w:pPr>
        <w:ind w:left="780"/>
      </w:pPr>
      <w:r>
        <w:t xml:space="preserve">c) die Ursachen eines in der Gewinn- und Verlustrechnung ausgewiesenen Jahresfehlbetrages;</w:t>
      </w:r>
    </w:p>
    <w:p>
      <w:pPr>
        <w:ind w:left="420"/>
      </w:pPr>
      <w:r>
        <w:t xml:space="preserve">3. ihr den Prüfungsbericht der Abschlußprüfer und, wenn das Unternehmen einen Konzernabschluß aufzustellen hat, auch den Prüfungsbericht der Konzernabschlußprüfer unverzüglich nach Eingang übersendet.</w:t>
      </w:r>
    </w:p>
    <w:p>
      <w:r>
        <w:t xml:space="preserve">(2) Für die Anwendung des Absatzes 1 rechnen als Anteile der Gebietskörperschaft auch Anteile, die einem Sondervermögen der Gebietskörperschaft gehören. Als Anteile der Gebietskörperschaft gelten ferner Anteile, die Unternehmen gehören, bei denen die Rechte aus Absatz 1 der Gebietskörperschaft zustehen.</w:t>
      </w:r>
    </w:p>
    <w:p>
      <w:r>
        <w:rPr>
          <w:color w:val="555555"/>
          <w:sz w:val="17"/>
        </w:rPr>
        <w:t xml:space="preserve">Zitiervorschlag: § 53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