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HGrG — Koordinierende Beratung der Grundannahmen der Haushalts- und Finanzplanungen; Einhaltung der Haushaltsdisziplin im Rahmen der Europäischen Wirtschafts- und Währungsunion</w:t>
      </w:r>
    </w:p>
    <w:p>
      <w:r>
        <w:rPr>
          <w:color w:val="555555"/>
          <w:sz w:val="18"/>
        </w:rPr>
        <w:t xml:space="preserve">Haushaltsgrundsätzegesetz</w:t>
      </w:r>
    </w:p>
    <w:p>
      <w:r>
        <w:rPr>
          <w:color w:val="555555"/>
          <w:sz w:val="18"/>
        </w:rPr>
        <w:t xml:space="preserve">Stand: 24.10.2025 (konsolidierte Textfassung, kein amtliches Inkrafttretensdatum)</w:t>
      </w:r>
    </w:p>
    <w:p>
      <w:r>
        <w:t xml:space="preserve">Zur Koordinierung der Haushalts- und Finanzplanungen des Bundes, der Länder und der Gemeinden und Gemeindeverbände berät der Stabilitätsrat über die zugrunde liegenden volks- und finanzwirtschaftlichen Annahmen. Dabei ist den Verpflichtungen der Bundesrepublik Deutschland aus Rechtsakten der Europäischen Union auf Grund der Artikel 121, 126 und 136 des Vertrags über die Arbeitsweise der Europäischen Union zur Einhaltung der Haushaltsdisziplin und in diesem Rahmen den Erfordernissen des gesamtwirtschaftlichen Gleichgewichts Rechnung zu tragen. Der Stabilitätsrat kann zur Koordinierung der Haushalts- und Finanzplanungen Empfehlungen beschließen. Die voraussichtlichen Einnahmen und Ausgaben der in § 52 genannten Einrichtungen sollen in die Beratungen und Empfehlungen einbezogen werden, soweit sie nicht schon in den Finanzplanungen des Bundes, der Länder und der Gemeinden und Gemeindeverbände enthalten sind.</w:t>
      </w:r>
    </w:p>
    <w:p>
      <w:r>
        <w:rPr>
          <w:color w:val="555555"/>
          <w:sz w:val="17"/>
        </w:rPr>
        <w:t xml:space="preserve">Zitiervorschlag: § 51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