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49b HGrG — Finanzstatistische Berichtspflichten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22.08.2023 (konsolidierte Textfassung, kein amtliches Inkrafttretensdatum)</w:t>
      </w:r>
    </w:p>
    <w:p>
      <w:r>
        <w:t xml:space="preserve">Bund und Länder stellen unabhängig von der Art ihrer Haushaltswirtschaft sicher, dass zur Erfüllung finanzstatistischer Anforderungen einschließlich der der Volkswirtschaftlichen Gesamtrechnungen sowie für sonstige Berichtspflichten die Plan- und Ist-Daten weiterhin nach dem Gruppierungs- und Funktionenplan mindestens auf Ebene der dreistelligen Gliederung bereitgestellt werden.</w:t>
      </w:r>
    </w:p>
    <w:p>
      <w:r>
        <w:rPr>
          <w:color w:val="555555"/>
          <w:sz w:val="17"/>
        </w:rPr>
        <w:t xml:space="preserve">Zitiervorschlag: § 49b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https://recht.nulegal.eu/gesetze/HGrG/49b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